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79555B" w:rsidRPr="004C7896" w:rsidTr="00171994">
        <w:trPr>
          <w:cantSplit/>
        </w:trPr>
        <w:tc>
          <w:tcPr>
            <w:tcW w:w="6580" w:type="dxa"/>
            <w:vAlign w:val="center"/>
          </w:tcPr>
          <w:p w:rsidR="0079555B" w:rsidRPr="00D8032B" w:rsidRDefault="0079555B" w:rsidP="0079555B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79555B" w:rsidRDefault="0079555B" w:rsidP="0079555B">
            <w:pPr>
              <w:shd w:val="solid" w:color="FFFFFF" w:fill="FFFFFF"/>
              <w:spacing w:before="0" w:line="240" w:lineRule="atLeast"/>
              <w:jc w:val="right"/>
            </w:pPr>
            <w:bookmarkStart w:id="0" w:name="ditulogo"/>
            <w:bookmarkEnd w:id="0"/>
            <w:r w:rsidRPr="002F7CB3">
              <w:rPr>
                <w:noProof/>
                <w:lang w:val="fr-FR" w:eastAsia="fr-FR"/>
              </w:rPr>
              <w:drawing>
                <wp:inline distT="0" distB="0" distL="0" distR="0" wp14:anchorId="4D9B83CB" wp14:editId="621BE487">
                  <wp:extent cx="1247775" cy="9358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79555B" w:rsidRPr="00163271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814E0A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79555B" w:rsidRPr="0051782D" w:rsidRDefault="0079555B" w:rsidP="0079555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79555B" w:rsidRPr="00710D66" w:rsidRDefault="0079555B" w:rsidP="0079555B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 w:val="restart"/>
          </w:tcPr>
          <w:p w:rsidR="00946638" w:rsidRDefault="00946638" w:rsidP="00946638">
            <w:pPr>
              <w:shd w:val="solid" w:color="FFFFFF" w:fill="FFFFFF"/>
              <w:tabs>
                <w:tab w:val="left" w:pos="70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>xx mm 2016</w:t>
            </w:r>
          </w:p>
          <w:p w:rsidR="0079555B" w:rsidRPr="00982084" w:rsidRDefault="00946638" w:rsidP="002F07FE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2F07FE">
              <w:rPr>
                <w:rFonts w:ascii="Verdana" w:hAnsi="Verdana"/>
                <w:sz w:val="20"/>
              </w:rPr>
              <w:t>Agenda item 1.9.2 (WRC-19)</w:t>
            </w:r>
          </w:p>
        </w:tc>
        <w:tc>
          <w:tcPr>
            <w:tcW w:w="3451" w:type="dxa"/>
          </w:tcPr>
          <w:p w:rsidR="0079555B" w:rsidRPr="00060800" w:rsidRDefault="0079555B" w:rsidP="0079555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   -E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highlight w:val="cyan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MM 2016</w:t>
            </w:r>
          </w:p>
        </w:tc>
      </w:tr>
      <w:tr w:rsidR="0079555B" w:rsidRPr="004C7896" w:rsidTr="00171994">
        <w:trPr>
          <w:cantSplit/>
        </w:trPr>
        <w:tc>
          <w:tcPr>
            <w:tcW w:w="6580" w:type="dxa"/>
            <w:vMerge/>
          </w:tcPr>
          <w:p w:rsidR="0079555B" w:rsidRPr="004C7896" w:rsidRDefault="0079555B" w:rsidP="0079555B">
            <w:pPr>
              <w:spacing w:before="60"/>
              <w:jc w:val="center"/>
              <w:rPr>
                <w:rFonts w:eastAsia="SimSun"/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79555B" w:rsidRPr="004C7896" w:rsidRDefault="0079555B" w:rsidP="0079555B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1B68F5">
            <w:pPr>
              <w:spacing w:before="840"/>
              <w:jc w:val="center"/>
              <w:rPr>
                <w:rFonts w:eastAsia="SimSun"/>
                <w:b/>
                <w:sz w:val="28"/>
                <w:lang w:eastAsia="zh-CN"/>
              </w:rPr>
            </w:pPr>
            <w:r w:rsidRPr="004C7896">
              <w:rPr>
                <w:rFonts w:eastAsia="SimSun"/>
                <w:b/>
                <w:sz w:val="28"/>
                <w:szCs w:val="28"/>
              </w:rPr>
              <w:t>International Association of Marine Aids to Navigation</w:t>
            </w:r>
            <w:r w:rsidRPr="004C7896">
              <w:rPr>
                <w:rFonts w:eastAsia="SimSun"/>
                <w:b/>
                <w:sz w:val="28"/>
                <w:szCs w:val="28"/>
              </w:rPr>
              <w:br/>
              <w:t>and Lighthouse Authorities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2F07FE">
            <w:pPr>
              <w:tabs>
                <w:tab w:val="left" w:pos="567"/>
                <w:tab w:val="left" w:pos="1701"/>
                <w:tab w:val="left" w:pos="2835"/>
              </w:tabs>
              <w:spacing w:before="240"/>
              <w:jc w:val="center"/>
              <w:rPr>
                <w:rFonts w:eastAsia="SimSun"/>
                <w:caps/>
                <w:sz w:val="28"/>
                <w:lang w:eastAsia="zh-CN"/>
              </w:rPr>
            </w:pPr>
            <w:r w:rsidRPr="004C7896">
              <w:rPr>
                <w:rFonts w:eastAsia="SimSun"/>
                <w:caps/>
                <w:sz w:val="28"/>
              </w:rPr>
              <w:t>Liaison Note to ITU-R WORKING pARTY 5B</w:t>
            </w:r>
          </w:p>
        </w:tc>
      </w:tr>
      <w:tr w:rsidR="001B68F5" w:rsidRPr="004C7896" w:rsidTr="00171994">
        <w:trPr>
          <w:cantSplit/>
        </w:trPr>
        <w:tc>
          <w:tcPr>
            <w:tcW w:w="10031" w:type="dxa"/>
            <w:gridSpan w:val="2"/>
          </w:tcPr>
          <w:p w:rsidR="001B68F5" w:rsidRPr="004C7896" w:rsidRDefault="001B68F5" w:rsidP="002F07FE">
            <w:pPr>
              <w:spacing w:before="0"/>
              <w:jc w:val="center"/>
              <w:rPr>
                <w:rFonts w:eastAsia="SimSun"/>
                <w:caps/>
                <w:sz w:val="28"/>
                <w:lang w:eastAsia="zh-CN"/>
              </w:rPr>
            </w:pPr>
            <w:bookmarkStart w:id="1" w:name="dtitle1" w:colFirst="0" w:colLast="0"/>
            <w:r w:rsidRPr="004C7896">
              <w:rPr>
                <w:rFonts w:eastAsia="SimSun"/>
                <w:caps/>
                <w:sz w:val="28"/>
              </w:rPr>
              <w:t xml:space="preserve">Regarding the </w:t>
            </w:r>
            <w:r w:rsidR="002F07FE">
              <w:rPr>
                <w:rFonts w:eastAsia="SimSun"/>
                <w:caps/>
                <w:sz w:val="28"/>
              </w:rPr>
              <w:t>AGENDA ITEM 1.9.2 (WRC-19)</w:t>
            </w:r>
          </w:p>
        </w:tc>
      </w:tr>
    </w:tbl>
    <w:bookmarkEnd w:id="1"/>
    <w:p w:rsidR="009853D0" w:rsidRPr="004C7896" w:rsidRDefault="009853D0" w:rsidP="00D440ED">
      <w:pPr>
        <w:keepNext/>
        <w:keepLines/>
        <w:spacing w:before="280"/>
        <w:ind w:left="432" w:hanging="432"/>
        <w:outlineLvl w:val="0"/>
        <w:rPr>
          <w:rFonts w:eastAsia="SimSun"/>
          <w:b/>
          <w:sz w:val="28"/>
        </w:rPr>
      </w:pPr>
      <w:r w:rsidRPr="004C7896">
        <w:rPr>
          <w:rFonts w:eastAsia="SimSun"/>
          <w:b/>
          <w:sz w:val="28"/>
        </w:rPr>
        <w:t>1</w:t>
      </w:r>
      <w:r w:rsidRPr="004C7896">
        <w:rPr>
          <w:rFonts w:eastAsia="SimSun"/>
          <w:b/>
          <w:sz w:val="28"/>
        </w:rPr>
        <w:tab/>
        <w:t>Background</w:t>
      </w:r>
    </w:p>
    <w:p w:rsidR="00A37000" w:rsidRDefault="009853D0" w:rsidP="00FE2CC2">
      <w:pPr>
        <w:jc w:val="both"/>
        <w:rPr>
          <w:rFonts w:eastAsia="SimSun"/>
        </w:rPr>
      </w:pPr>
      <w:r w:rsidRPr="004C7896">
        <w:rPr>
          <w:rFonts w:eastAsia="SimSun"/>
        </w:rPr>
        <w:t xml:space="preserve">IALA </w:t>
      </w:r>
      <w:r w:rsidR="00407AEA">
        <w:rPr>
          <w:rFonts w:eastAsia="SimSun"/>
        </w:rPr>
        <w:t>has noted with great interest</w:t>
      </w:r>
      <w:r w:rsidR="00FE2CC2">
        <w:t xml:space="preserve"> the </w:t>
      </w:r>
      <w:r w:rsidR="00251B3A">
        <w:t xml:space="preserve">new AI 1.9.2 supported by </w:t>
      </w:r>
      <w:r w:rsidR="00C35A56">
        <w:t>R</w:t>
      </w:r>
      <w:r w:rsidR="00251B3A">
        <w:t>esolution 360 (Rev. WRC-15) in which IALA is invited to contribute.</w:t>
      </w:r>
    </w:p>
    <w:p w:rsidR="00D440ED" w:rsidRPr="004C7896" w:rsidRDefault="00D440ED" w:rsidP="00D440ED">
      <w:pPr>
        <w:keepNext/>
        <w:keepLines/>
        <w:spacing w:before="280"/>
        <w:ind w:left="432" w:hanging="432"/>
        <w:outlineLvl w:val="0"/>
        <w:rPr>
          <w:rFonts w:eastAsia="SimSun"/>
          <w:b/>
          <w:sz w:val="28"/>
        </w:rPr>
      </w:pPr>
      <w:r>
        <w:rPr>
          <w:rFonts w:eastAsia="SimSun"/>
          <w:b/>
          <w:sz w:val="28"/>
        </w:rPr>
        <w:t>2</w:t>
      </w:r>
      <w:r w:rsidRPr="004C7896">
        <w:rPr>
          <w:rFonts w:eastAsia="SimSun"/>
          <w:b/>
          <w:sz w:val="28"/>
        </w:rPr>
        <w:tab/>
      </w:r>
      <w:r>
        <w:rPr>
          <w:rFonts w:eastAsia="SimSun"/>
          <w:b/>
          <w:sz w:val="28"/>
        </w:rPr>
        <w:t>Discussion</w:t>
      </w:r>
    </w:p>
    <w:p w:rsidR="007F09F6" w:rsidRDefault="00C35A56" w:rsidP="00FE2CC2">
      <w:pPr>
        <w:jc w:val="both"/>
        <w:rPr>
          <w:rFonts w:eastAsia="SimSun"/>
          <w:szCs w:val="24"/>
        </w:rPr>
      </w:pPr>
      <w:r w:rsidRPr="00C35A56">
        <w:rPr>
          <w:rFonts w:eastAsia="SimSun"/>
          <w:szCs w:val="24"/>
        </w:rPr>
        <w:t xml:space="preserve">During the previous study period </w:t>
      </w:r>
      <w:r>
        <w:rPr>
          <w:rFonts w:eastAsia="SimSun"/>
          <w:szCs w:val="24"/>
        </w:rPr>
        <w:t xml:space="preserve">IALA has </w:t>
      </w:r>
      <w:r w:rsidR="007D1F4A">
        <w:rPr>
          <w:rFonts w:eastAsia="SimSun"/>
          <w:szCs w:val="24"/>
        </w:rPr>
        <w:t xml:space="preserve">studied </w:t>
      </w:r>
      <w:r>
        <w:rPr>
          <w:rFonts w:eastAsia="SimSun"/>
          <w:szCs w:val="24"/>
        </w:rPr>
        <w:t xml:space="preserve">a VDES satellite component in </w:t>
      </w:r>
      <w:r w:rsidR="00D272C3">
        <w:rPr>
          <w:rFonts w:eastAsia="SimSun"/>
          <w:szCs w:val="24"/>
        </w:rPr>
        <w:t xml:space="preserve">six </w:t>
      </w:r>
      <w:r>
        <w:rPr>
          <w:rFonts w:eastAsia="SimSun"/>
          <w:szCs w:val="24"/>
        </w:rPr>
        <w:t xml:space="preserve">channels of the Appendix </w:t>
      </w:r>
      <w:r w:rsidRPr="00140B8D">
        <w:rPr>
          <w:rFonts w:eastAsia="SimSun"/>
          <w:b/>
          <w:szCs w:val="24"/>
        </w:rPr>
        <w:t>18</w:t>
      </w:r>
      <w:r>
        <w:rPr>
          <w:rFonts w:eastAsia="SimSun"/>
          <w:szCs w:val="24"/>
        </w:rPr>
        <w:t>. IALA intend</w:t>
      </w:r>
      <w:r w:rsidR="007D1F4A">
        <w:rPr>
          <w:rFonts w:eastAsia="SimSun"/>
          <w:szCs w:val="24"/>
        </w:rPr>
        <w:t>s</w:t>
      </w:r>
      <w:r>
        <w:rPr>
          <w:rFonts w:eastAsia="SimSun"/>
          <w:szCs w:val="24"/>
        </w:rPr>
        <w:t xml:space="preserve"> to continue to work on that option through the development of a working document towards </w:t>
      </w:r>
      <w:r w:rsidR="00140B8D">
        <w:rPr>
          <w:rFonts w:eastAsia="SimSun"/>
          <w:szCs w:val="24"/>
        </w:rPr>
        <w:t xml:space="preserve">a draft new Report. </w:t>
      </w:r>
      <w:r w:rsidR="000E0738">
        <w:rPr>
          <w:rFonts w:eastAsia="SimSun"/>
          <w:szCs w:val="24"/>
        </w:rPr>
        <w:t>See in Annex the proposed table of content for this draft new Report</w:t>
      </w:r>
      <w:bookmarkStart w:id="2" w:name="_GoBack"/>
      <w:bookmarkEnd w:id="2"/>
      <w:r w:rsidR="000E0738">
        <w:rPr>
          <w:rFonts w:eastAsia="SimSun"/>
          <w:szCs w:val="24"/>
        </w:rPr>
        <w:t>.</w:t>
      </w:r>
    </w:p>
    <w:p w:rsidR="00D272C3" w:rsidRDefault="00140B8D" w:rsidP="00FE2CC2">
      <w:pPr>
        <w:jc w:val="both"/>
        <w:rPr>
          <w:rFonts w:asciiTheme="majorBidi" w:hAnsiTheme="majorBidi" w:cstheme="majorBidi"/>
          <w:szCs w:val="24"/>
        </w:rPr>
      </w:pPr>
      <w:r>
        <w:rPr>
          <w:rFonts w:eastAsia="SimSun"/>
          <w:szCs w:val="24"/>
        </w:rPr>
        <w:t xml:space="preserve">In addition IALA has noted the possibility to study </w:t>
      </w:r>
      <w:r w:rsidRPr="00115B79">
        <w:rPr>
          <w:rFonts w:asciiTheme="majorBidi" w:hAnsiTheme="majorBidi" w:cstheme="majorBidi"/>
          <w:szCs w:val="24"/>
          <w:lang w:eastAsia="nl-NL"/>
        </w:rPr>
        <w:t>new spectrum allocations to the maritime mobile-satellite service (Earth</w:t>
      </w:r>
      <w:r w:rsidRPr="00115B79">
        <w:rPr>
          <w:rFonts w:asciiTheme="majorBidi" w:hAnsiTheme="majorBidi" w:cstheme="majorBidi"/>
          <w:szCs w:val="24"/>
          <w:lang w:eastAsia="nl-NL"/>
        </w:rPr>
        <w:noBreakHyphen/>
        <w:t>to</w:t>
      </w:r>
      <w:r w:rsidRPr="00115B79">
        <w:rPr>
          <w:rFonts w:asciiTheme="majorBidi" w:hAnsiTheme="majorBidi" w:cstheme="majorBidi"/>
          <w:szCs w:val="24"/>
          <w:lang w:eastAsia="nl-NL"/>
        </w:rPr>
        <w:noBreakHyphen/>
        <w:t>space and space-to-Earth)</w:t>
      </w:r>
      <w:proofErr w:type="gramStart"/>
      <w:r w:rsidRPr="00115B79">
        <w:rPr>
          <w:rFonts w:asciiTheme="majorBidi" w:hAnsiTheme="majorBidi" w:cstheme="majorBidi"/>
          <w:szCs w:val="24"/>
          <w:lang w:eastAsia="nl-NL"/>
        </w:rPr>
        <w:t>,</w:t>
      </w:r>
      <w:proofErr w:type="gramEnd"/>
      <w:r w:rsidRPr="00115B79">
        <w:rPr>
          <w:rFonts w:asciiTheme="majorBidi" w:hAnsiTheme="majorBidi" w:cstheme="majorBidi"/>
          <w:szCs w:val="24"/>
          <w:lang w:eastAsia="nl-NL"/>
        </w:rPr>
        <w:t xml:space="preserve"> within the frequency bands </w:t>
      </w:r>
      <w:r w:rsidRPr="00115B79">
        <w:rPr>
          <w:rFonts w:asciiTheme="majorBidi" w:hAnsiTheme="majorBidi" w:cstheme="majorBidi"/>
          <w:szCs w:val="24"/>
        </w:rPr>
        <w:t>156.0125-157.4375 MHz and 160.6125-162.0375 </w:t>
      </w:r>
      <w:proofErr w:type="spellStart"/>
      <w:r w:rsidRPr="00115B79">
        <w:rPr>
          <w:rFonts w:asciiTheme="majorBidi" w:hAnsiTheme="majorBidi" w:cstheme="majorBidi"/>
          <w:szCs w:val="24"/>
        </w:rPr>
        <w:t>MHz</w:t>
      </w:r>
      <w:r w:rsidR="00D272C3">
        <w:rPr>
          <w:rFonts w:asciiTheme="majorBidi" w:hAnsiTheme="majorBidi" w:cstheme="majorBidi"/>
          <w:szCs w:val="24"/>
        </w:rPr>
        <w:t>.</w:t>
      </w:r>
      <w:proofErr w:type="spellEnd"/>
      <w:r w:rsidR="00D272C3">
        <w:rPr>
          <w:rFonts w:asciiTheme="majorBidi" w:hAnsiTheme="majorBidi" w:cstheme="majorBidi"/>
          <w:szCs w:val="24"/>
        </w:rPr>
        <w:t xml:space="preserve"> IALA intends to study during this study period the possibility to identify a new MMSS (space-to-Earth) in the frequency band 160.975-161.475 </w:t>
      </w:r>
      <w:proofErr w:type="spellStart"/>
      <w:r w:rsidR="00D272C3">
        <w:rPr>
          <w:rFonts w:asciiTheme="majorBidi" w:hAnsiTheme="majorBidi" w:cstheme="majorBidi"/>
          <w:szCs w:val="24"/>
        </w:rPr>
        <w:t>MHz.</w:t>
      </w:r>
      <w:proofErr w:type="spellEnd"/>
      <w:r w:rsidR="00D272C3">
        <w:rPr>
          <w:rFonts w:asciiTheme="majorBidi" w:hAnsiTheme="majorBidi" w:cstheme="majorBidi"/>
          <w:szCs w:val="24"/>
        </w:rPr>
        <w:t xml:space="preserve"> This would ease the sharing considerations between the terrestrial and satellite component</w:t>
      </w:r>
      <w:r w:rsidR="006F4594">
        <w:rPr>
          <w:rFonts w:asciiTheme="majorBidi" w:hAnsiTheme="majorBidi" w:cstheme="majorBidi"/>
          <w:szCs w:val="24"/>
        </w:rPr>
        <w:t>s</w:t>
      </w:r>
      <w:r w:rsidR="00D272C3">
        <w:rPr>
          <w:rFonts w:asciiTheme="majorBidi" w:hAnsiTheme="majorBidi" w:cstheme="majorBidi"/>
          <w:szCs w:val="24"/>
        </w:rPr>
        <w:t xml:space="preserve"> of VDES.  </w:t>
      </w:r>
    </w:p>
    <w:p w:rsidR="006F4594" w:rsidRDefault="006F4594" w:rsidP="00FE2CC2">
      <w:pPr>
        <w:jc w:val="both"/>
        <w:rPr>
          <w:rFonts w:asciiTheme="majorBidi" w:hAnsiTheme="majorBidi" w:cstheme="majorBidi"/>
          <w:szCs w:val="24"/>
        </w:rPr>
      </w:pPr>
    </w:p>
    <w:p w:rsidR="00D440ED" w:rsidRPr="004C7896" w:rsidRDefault="00D440ED" w:rsidP="00547E5A">
      <w:pPr>
        <w:jc w:val="both"/>
        <w:rPr>
          <w:rFonts w:eastAsia="SimSun"/>
          <w:b/>
          <w:sz w:val="28"/>
        </w:rPr>
      </w:pPr>
      <w:r>
        <w:rPr>
          <w:rFonts w:eastAsia="SimSun"/>
          <w:b/>
          <w:sz w:val="28"/>
        </w:rPr>
        <w:t>3</w:t>
      </w:r>
      <w:r w:rsidR="006F4594">
        <w:rPr>
          <w:rFonts w:eastAsia="SimSun"/>
          <w:b/>
          <w:sz w:val="28"/>
        </w:rPr>
        <w:t xml:space="preserve">     </w:t>
      </w:r>
      <w:r>
        <w:rPr>
          <w:rFonts w:eastAsia="SimSun"/>
          <w:b/>
          <w:sz w:val="28"/>
        </w:rPr>
        <w:t>Actions requested</w:t>
      </w:r>
    </w:p>
    <w:p w:rsidR="00C35A56" w:rsidRDefault="00D440ED" w:rsidP="00D440ED">
      <w:r w:rsidRPr="001F5202">
        <w:rPr>
          <w:lang w:eastAsia="de-DE"/>
        </w:rPr>
        <w:t>IALA request</w:t>
      </w:r>
      <w:r>
        <w:rPr>
          <w:lang w:eastAsia="de-DE"/>
        </w:rPr>
        <w:t>s</w:t>
      </w:r>
      <w:r w:rsidRPr="001F5202">
        <w:rPr>
          <w:lang w:eastAsia="de-DE"/>
        </w:rPr>
        <w:t xml:space="preserve"> ITU-R WP</w:t>
      </w:r>
      <w:r>
        <w:rPr>
          <w:lang w:eastAsia="de-DE"/>
        </w:rPr>
        <w:t xml:space="preserve"> </w:t>
      </w:r>
      <w:r w:rsidRPr="001F5202">
        <w:rPr>
          <w:lang w:eastAsia="de-DE"/>
        </w:rPr>
        <w:t xml:space="preserve">5B </w:t>
      </w:r>
      <w:r>
        <w:rPr>
          <w:lang w:eastAsia="de-DE"/>
        </w:rPr>
        <w:t xml:space="preserve">to </w:t>
      </w:r>
      <w:r w:rsidRPr="001F5202">
        <w:rPr>
          <w:lang w:eastAsia="de-DE"/>
        </w:rPr>
        <w:t xml:space="preserve">consider </w:t>
      </w:r>
      <w:r>
        <w:rPr>
          <w:lang w:eastAsia="de-DE"/>
        </w:rPr>
        <w:t>this information</w:t>
      </w:r>
      <w:r w:rsidR="00D272C3">
        <w:rPr>
          <w:lang w:eastAsia="de-DE"/>
        </w:rPr>
        <w:t>.</w:t>
      </w:r>
      <w:r>
        <w:rPr>
          <w:lang w:eastAsia="de-DE"/>
        </w:rPr>
        <w:t xml:space="preserve"> </w:t>
      </w:r>
    </w:p>
    <w:p w:rsidR="000E0738" w:rsidRDefault="000E073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en-US"/>
        </w:rPr>
      </w:pPr>
      <w:r>
        <w:rPr>
          <w:lang w:val="en-US"/>
        </w:rPr>
        <w:br w:type="page"/>
      </w:r>
    </w:p>
    <w:p w:rsidR="000E0738" w:rsidRPr="00A75FD3" w:rsidRDefault="000E0738" w:rsidP="000E0738">
      <w:pPr>
        <w:pStyle w:val="Titre1"/>
        <w:numPr>
          <w:ilvl w:val="0"/>
          <w:numId w:val="2"/>
        </w:numPr>
        <w:rPr>
          <w:color w:val="auto"/>
          <w:sz w:val="28"/>
          <w:szCs w:val="28"/>
        </w:rPr>
      </w:pPr>
      <w:bookmarkStart w:id="3" w:name="_Toc445972008"/>
      <w:r w:rsidRPr="00A75FD3">
        <w:rPr>
          <w:color w:val="auto"/>
          <w:sz w:val="28"/>
          <w:szCs w:val="28"/>
        </w:rPr>
        <w:lastRenderedPageBreak/>
        <w:t>Introduction</w:t>
      </w:r>
      <w:bookmarkEnd w:id="3"/>
    </w:p>
    <w:p w:rsidR="000E0738" w:rsidRPr="00A75FD3" w:rsidRDefault="000E0738" w:rsidP="000E0738">
      <w:pPr>
        <w:pStyle w:val="Titre1"/>
        <w:rPr>
          <w:color w:val="auto"/>
          <w:sz w:val="28"/>
          <w:szCs w:val="28"/>
        </w:rPr>
      </w:pPr>
      <w:bookmarkStart w:id="4" w:name="_Toc445972009"/>
      <w:r w:rsidRPr="00A75FD3">
        <w:rPr>
          <w:color w:val="auto"/>
          <w:sz w:val="28"/>
          <w:szCs w:val="28"/>
        </w:rPr>
        <w:t xml:space="preserve">VDE-SAT, the essential supplement to coastal VDES </w:t>
      </w:r>
      <w:bookmarkEnd w:id="4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5" w:name="_Toc445972010"/>
      <w:r w:rsidRPr="00836B4B">
        <w:rPr>
          <w:b w:val="0"/>
          <w:color w:val="auto"/>
          <w:sz w:val="24"/>
          <w:szCs w:val="24"/>
        </w:rPr>
        <w:t>To fill the geographical and operational gaps of the VDES coastal network</w:t>
      </w:r>
      <w:bookmarkEnd w:id="5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6" w:name="_Toc445972011"/>
      <w:r w:rsidRPr="00836B4B">
        <w:rPr>
          <w:b w:val="0"/>
          <w:color w:val="auto"/>
          <w:sz w:val="24"/>
          <w:szCs w:val="24"/>
        </w:rPr>
        <w:t>To expand of the VDES from coastal area to global coverage</w:t>
      </w:r>
      <w:bookmarkEnd w:id="6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7" w:name="_Toc445972012"/>
      <w:r w:rsidRPr="00836B4B">
        <w:rPr>
          <w:b w:val="0"/>
          <w:color w:val="auto"/>
          <w:sz w:val="24"/>
          <w:szCs w:val="24"/>
        </w:rPr>
        <w:t>Use case descriptions</w:t>
      </w:r>
      <w:bookmarkEnd w:id="7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8" w:name="_Toc445972013"/>
      <w:r w:rsidRPr="00836B4B">
        <w:rPr>
          <w:b w:val="0"/>
          <w:color w:val="auto"/>
        </w:rPr>
        <w:t>Distribution of maritime safety information</w:t>
      </w:r>
      <w:bookmarkEnd w:id="8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9" w:name="_Toc445972014"/>
      <w:r w:rsidRPr="00836B4B">
        <w:rPr>
          <w:b w:val="0"/>
          <w:color w:val="auto"/>
        </w:rPr>
        <w:t>Automated or on event ship reporting</w:t>
      </w:r>
      <w:bookmarkEnd w:id="9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10" w:name="_Toc445972015"/>
      <w:r w:rsidRPr="00836B4B">
        <w:rPr>
          <w:b w:val="0"/>
          <w:color w:val="auto"/>
        </w:rPr>
        <w:t>VDE-SAT opportunity for small vessels fleet or developing areas</w:t>
      </w:r>
      <w:bookmarkEnd w:id="10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11" w:name="_Toc445972016"/>
      <w:r w:rsidRPr="00836B4B">
        <w:rPr>
          <w:b w:val="0"/>
          <w:color w:val="auto"/>
        </w:rPr>
        <w:t>Anti-piracy</w:t>
      </w:r>
      <w:bookmarkEnd w:id="11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12" w:name="_Toc445972017"/>
      <w:r w:rsidRPr="00836B4B">
        <w:rPr>
          <w:b w:val="0"/>
          <w:color w:val="auto"/>
        </w:rPr>
        <w:t>VDES infrastructure for developing areas</w:t>
      </w:r>
      <w:bookmarkEnd w:id="12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13" w:name="_Toc445972018"/>
      <w:r w:rsidRPr="00836B4B">
        <w:rPr>
          <w:b w:val="0"/>
          <w:color w:val="auto"/>
        </w:rPr>
        <w:t>High seas communications to small vessels, i.e. fishing vessels</w:t>
      </w:r>
      <w:bookmarkEnd w:id="13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14" w:name="_Toc445972019"/>
      <w:r w:rsidRPr="00836B4B">
        <w:rPr>
          <w:b w:val="0"/>
          <w:color w:val="auto"/>
        </w:rPr>
        <w:t>Ice chart distribution</w:t>
      </w:r>
      <w:bookmarkEnd w:id="14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15" w:name="_Ref318987199"/>
      <w:bookmarkStart w:id="16" w:name="_Toc445972020"/>
      <w:r w:rsidRPr="00836B4B">
        <w:rPr>
          <w:color w:val="auto"/>
          <w:sz w:val="28"/>
          <w:szCs w:val="28"/>
        </w:rPr>
        <w:t>Interoperability with the terrestrial VDES</w:t>
      </w:r>
      <w:bookmarkEnd w:id="15"/>
      <w:bookmarkEnd w:id="16"/>
      <w:r w:rsidRPr="00836B4B">
        <w:rPr>
          <w:color w:val="auto"/>
          <w:sz w:val="28"/>
          <w:szCs w:val="28"/>
        </w:rPr>
        <w:t xml:space="preserve">  </w:t>
      </w:r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17" w:name="_Toc445972021"/>
      <w:r w:rsidRPr="00836B4B">
        <w:rPr>
          <w:b w:val="0"/>
          <w:color w:val="auto"/>
          <w:sz w:val="24"/>
          <w:szCs w:val="24"/>
        </w:rPr>
        <w:t>Resource sharing method for VDES terrestrial and satellite services</w:t>
      </w:r>
      <w:bookmarkEnd w:id="17"/>
      <w:r w:rsidRPr="00836B4B">
        <w:rPr>
          <w:b w:val="0"/>
          <w:color w:val="auto"/>
          <w:sz w:val="24"/>
          <w:szCs w:val="24"/>
        </w:rPr>
        <w:t xml:space="preserve"> </w:t>
      </w:r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18" w:name="_Toc445972022"/>
      <w:r w:rsidRPr="00836B4B">
        <w:rPr>
          <w:b w:val="0"/>
          <w:color w:val="auto"/>
          <w:sz w:val="24"/>
          <w:szCs w:val="24"/>
        </w:rPr>
        <w:t>Resource sharing between multiple VDES satellite systems</w:t>
      </w:r>
      <w:bookmarkEnd w:id="18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19" w:name="_Toc445972023"/>
      <w:r w:rsidRPr="00836B4B">
        <w:rPr>
          <w:color w:val="auto"/>
          <w:sz w:val="28"/>
          <w:szCs w:val="28"/>
        </w:rPr>
        <w:t>Interference to incumbent services and those in adjacent frequency bands</w:t>
      </w:r>
      <w:bookmarkEnd w:id="19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0" w:name="_Toc445972024"/>
      <w:r w:rsidRPr="00836B4B">
        <w:rPr>
          <w:b w:val="0"/>
          <w:color w:val="auto"/>
          <w:sz w:val="24"/>
          <w:szCs w:val="24"/>
        </w:rPr>
        <w:t>Maritime Distress and voice services (see Report ITU-R M.2371)</w:t>
      </w:r>
      <w:bookmarkEnd w:id="20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1" w:name="_Toc445972025"/>
      <w:r w:rsidRPr="00836B4B">
        <w:rPr>
          <w:b w:val="0"/>
          <w:color w:val="auto"/>
          <w:sz w:val="24"/>
          <w:szCs w:val="24"/>
        </w:rPr>
        <w:t>Satellite AIS</w:t>
      </w:r>
      <w:bookmarkEnd w:id="21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2" w:name="_Toc445972026"/>
      <w:r w:rsidRPr="00836B4B">
        <w:rPr>
          <w:b w:val="0"/>
          <w:color w:val="auto"/>
          <w:sz w:val="24"/>
          <w:szCs w:val="24"/>
        </w:rPr>
        <w:t>Radiolocation in the 154-156 MHz band (Russia + others)</w:t>
      </w:r>
      <w:bookmarkEnd w:id="22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3" w:name="_Toc445972027"/>
      <w:r w:rsidRPr="00836B4B">
        <w:rPr>
          <w:b w:val="0"/>
          <w:color w:val="auto"/>
          <w:sz w:val="24"/>
          <w:szCs w:val="24"/>
        </w:rPr>
        <w:t>Broadcast in the 162-164 MHz band (Morocco) (Liaison note from WP5B required)</w:t>
      </w:r>
      <w:bookmarkEnd w:id="23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4" w:name="_Toc445972028"/>
      <w:r w:rsidRPr="00836B4B">
        <w:rPr>
          <w:b w:val="0"/>
          <w:color w:val="auto"/>
          <w:sz w:val="24"/>
          <w:szCs w:val="24"/>
        </w:rPr>
        <w:t>Space-to-earth in the 162-164 Hz band (China)</w:t>
      </w:r>
      <w:bookmarkEnd w:id="24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5" w:name="_Toc445972029"/>
      <w:r w:rsidRPr="00836B4B">
        <w:rPr>
          <w:b w:val="0"/>
          <w:color w:val="auto"/>
          <w:sz w:val="24"/>
          <w:szCs w:val="24"/>
        </w:rPr>
        <w:t>Fixed services in band (Liaison note from WP5B required)</w:t>
      </w:r>
      <w:bookmarkEnd w:id="25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6" w:name="_Toc445972030"/>
      <w:r w:rsidRPr="00836B4B">
        <w:rPr>
          <w:b w:val="0"/>
          <w:color w:val="auto"/>
          <w:sz w:val="24"/>
          <w:szCs w:val="24"/>
        </w:rPr>
        <w:t>Land and aeronautical mobile services in-band and in adjacent frequency bands (154-164 MHz</w:t>
      </w:r>
      <w:proofErr w:type="gramStart"/>
      <w:r w:rsidRPr="00836B4B">
        <w:rPr>
          <w:b w:val="0"/>
          <w:color w:val="auto"/>
          <w:sz w:val="24"/>
          <w:szCs w:val="24"/>
        </w:rPr>
        <w:t>)(</w:t>
      </w:r>
      <w:proofErr w:type="gramEnd"/>
      <w:r w:rsidRPr="00836B4B">
        <w:rPr>
          <w:b w:val="0"/>
          <w:color w:val="auto"/>
          <w:sz w:val="24"/>
          <w:szCs w:val="24"/>
        </w:rPr>
        <w:t>Liaison note from WP5B required)</w:t>
      </w:r>
      <w:bookmarkEnd w:id="26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7" w:name="_Toc445972031"/>
      <w:r w:rsidRPr="00836B4B">
        <w:rPr>
          <w:b w:val="0"/>
          <w:color w:val="auto"/>
          <w:sz w:val="24"/>
          <w:szCs w:val="24"/>
        </w:rPr>
        <w:t>PFD limit calculations, averaging time, polarization, required signal characteristics</w:t>
      </w:r>
      <w:bookmarkEnd w:id="27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28" w:name="_Toc445972032"/>
      <w:r w:rsidRPr="00836B4B">
        <w:rPr>
          <w:color w:val="auto"/>
          <w:sz w:val="28"/>
          <w:szCs w:val="28"/>
        </w:rPr>
        <w:t>Satellite receiver resilience to harmful interference from incumbent services and those in adjacent frequency band</w:t>
      </w:r>
      <w:bookmarkEnd w:id="28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29" w:name="_Toc445972033"/>
      <w:r w:rsidRPr="00836B4B">
        <w:rPr>
          <w:b w:val="0"/>
          <w:color w:val="auto"/>
          <w:sz w:val="24"/>
          <w:szCs w:val="24"/>
        </w:rPr>
        <w:t>Propagation model</w:t>
      </w:r>
      <w:bookmarkEnd w:id="29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30" w:name="_Toc445972034"/>
      <w:r w:rsidRPr="00836B4B">
        <w:rPr>
          <w:b w:val="0"/>
          <w:color w:val="auto"/>
          <w:sz w:val="24"/>
          <w:szCs w:val="24"/>
        </w:rPr>
        <w:t>Link budget simulations based on noise measurements</w:t>
      </w:r>
      <w:bookmarkEnd w:id="30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31" w:name="_Toc445972035"/>
      <w:r w:rsidRPr="00836B4B">
        <w:rPr>
          <w:b w:val="0"/>
          <w:color w:val="auto"/>
          <w:sz w:val="24"/>
          <w:szCs w:val="24"/>
        </w:rPr>
        <w:t>Performance degradation estimates</w:t>
      </w:r>
      <w:bookmarkEnd w:id="31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32" w:name="_Toc445972036"/>
      <w:r w:rsidRPr="00836B4B">
        <w:rPr>
          <w:color w:val="auto"/>
          <w:sz w:val="28"/>
          <w:szCs w:val="28"/>
        </w:rPr>
        <w:t>Identification of spectrum requirements and rationale for the use of the frequency bands of Appendix 18 of the RR</w:t>
      </w:r>
      <w:bookmarkEnd w:id="32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33" w:name="_Toc445972037"/>
      <w:r w:rsidRPr="00836B4B">
        <w:rPr>
          <w:b w:val="0"/>
          <w:color w:val="auto"/>
          <w:sz w:val="24"/>
          <w:szCs w:val="24"/>
        </w:rPr>
        <w:t>Potential use of the frequency band 160.975-161.475 MHz versus 2024/2084/2025/2085/2026/2086 for satellite downlink</w:t>
      </w:r>
      <w:bookmarkEnd w:id="33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34" w:name="_Toc445972038"/>
      <w:r w:rsidRPr="00836B4B">
        <w:rPr>
          <w:b w:val="0"/>
          <w:color w:val="auto"/>
          <w:sz w:val="24"/>
          <w:szCs w:val="24"/>
        </w:rPr>
        <w:t>Frequency plan analysis</w:t>
      </w:r>
      <w:bookmarkEnd w:id="34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35" w:name="_Toc445972039"/>
      <w:r w:rsidRPr="00836B4B">
        <w:rPr>
          <w:b w:val="0"/>
          <w:color w:val="auto"/>
        </w:rPr>
        <w:t>Analysis FDMA, TDMA, CDMA</w:t>
      </w:r>
      <w:bookmarkEnd w:id="35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36" w:name="_Toc445972040"/>
      <w:r w:rsidRPr="00836B4B">
        <w:rPr>
          <w:b w:val="0"/>
          <w:color w:val="auto"/>
        </w:rPr>
        <w:t>In-band PFD mask</w:t>
      </w:r>
      <w:bookmarkEnd w:id="36"/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37" w:name="_Toc445972041"/>
      <w:r w:rsidRPr="00836B4B">
        <w:rPr>
          <w:b w:val="0"/>
          <w:color w:val="auto"/>
        </w:rPr>
        <w:t>Adjacent Radio Astronomy mask</w:t>
      </w:r>
      <w:bookmarkEnd w:id="37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38" w:name="_Toc445972042"/>
      <w:r w:rsidRPr="00836B4B">
        <w:rPr>
          <w:b w:val="0"/>
          <w:color w:val="auto"/>
          <w:sz w:val="24"/>
          <w:szCs w:val="24"/>
        </w:rPr>
        <w:t>Conclusions (primary/secondary)</w:t>
      </w:r>
      <w:bookmarkEnd w:id="38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39" w:name="_Toc445972043"/>
      <w:r w:rsidRPr="00836B4B">
        <w:rPr>
          <w:color w:val="auto"/>
          <w:sz w:val="28"/>
          <w:szCs w:val="28"/>
        </w:rPr>
        <w:t>Testing, demonstrations and measurements</w:t>
      </w:r>
      <w:bookmarkEnd w:id="39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40" w:name="_Toc445972044"/>
      <w:r w:rsidRPr="00836B4B">
        <w:rPr>
          <w:color w:val="auto"/>
          <w:sz w:val="28"/>
          <w:szCs w:val="28"/>
        </w:rPr>
        <w:t>Future demonstrations and measurements</w:t>
      </w:r>
      <w:bookmarkEnd w:id="40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1" w:name="_Toc445972045"/>
      <w:r w:rsidRPr="00836B4B">
        <w:rPr>
          <w:b w:val="0"/>
          <w:color w:val="auto"/>
          <w:sz w:val="24"/>
          <w:szCs w:val="24"/>
        </w:rPr>
        <w:t>Norsat-2 (ESA VDE-SAT downlink verification planned H1 2017)</w:t>
      </w:r>
      <w:bookmarkEnd w:id="41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2" w:name="_Toc445972046"/>
      <w:proofErr w:type="gramStart"/>
      <w:r w:rsidRPr="00836B4B">
        <w:rPr>
          <w:b w:val="0"/>
          <w:color w:val="auto"/>
          <w:sz w:val="24"/>
          <w:szCs w:val="24"/>
        </w:rPr>
        <w:t>Uplink measurements campaigns?</w:t>
      </w:r>
      <w:bookmarkEnd w:id="42"/>
      <w:proofErr w:type="gramEnd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3" w:name="_Toc445972047"/>
      <w:r w:rsidRPr="00836B4B">
        <w:rPr>
          <w:b w:val="0"/>
          <w:color w:val="auto"/>
          <w:sz w:val="24"/>
          <w:szCs w:val="24"/>
        </w:rPr>
        <w:t>Global spectrum sweeps for interference mapping?</w:t>
      </w:r>
      <w:bookmarkEnd w:id="43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4" w:name="_Toc445972048"/>
      <w:proofErr w:type="gramStart"/>
      <w:r w:rsidRPr="00836B4B">
        <w:rPr>
          <w:b w:val="0"/>
          <w:color w:val="auto"/>
          <w:sz w:val="24"/>
          <w:szCs w:val="24"/>
        </w:rPr>
        <w:t>Two-way test/demo VDE-SAT system including protocols?</w:t>
      </w:r>
      <w:bookmarkEnd w:id="44"/>
      <w:proofErr w:type="gramEnd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5" w:name="_Toc445972049"/>
      <w:proofErr w:type="spellStart"/>
      <w:r w:rsidRPr="00836B4B">
        <w:rPr>
          <w:b w:val="0"/>
          <w:color w:val="auto"/>
          <w:sz w:val="24"/>
          <w:szCs w:val="24"/>
        </w:rPr>
        <w:t>Efficiensea</w:t>
      </w:r>
      <w:proofErr w:type="spellEnd"/>
      <w:r w:rsidRPr="00836B4B">
        <w:rPr>
          <w:b w:val="0"/>
          <w:color w:val="auto"/>
          <w:sz w:val="24"/>
          <w:szCs w:val="24"/>
        </w:rPr>
        <w:t xml:space="preserve"> 2 coordination</w:t>
      </w:r>
      <w:bookmarkEnd w:id="45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6" w:name="_Toc445972050"/>
      <w:r w:rsidRPr="00836B4B">
        <w:rPr>
          <w:b w:val="0"/>
          <w:color w:val="auto"/>
          <w:sz w:val="24"/>
          <w:szCs w:val="24"/>
        </w:rPr>
        <w:t>Other test-satellites planned?</w:t>
      </w:r>
      <w:bookmarkEnd w:id="46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7" w:name="_Toc445972051"/>
      <w:proofErr w:type="gramStart"/>
      <w:r w:rsidRPr="00836B4B">
        <w:rPr>
          <w:b w:val="0"/>
          <w:color w:val="auto"/>
          <w:sz w:val="24"/>
          <w:szCs w:val="24"/>
        </w:rPr>
        <w:t>Norsat-2 and other satellites sharing?</w:t>
      </w:r>
      <w:bookmarkEnd w:id="47"/>
      <w:proofErr w:type="gramEnd"/>
    </w:p>
    <w:p w:rsidR="000E0738" w:rsidRPr="00836B4B" w:rsidRDefault="000E0738" w:rsidP="000E0738">
      <w:pPr>
        <w:pStyle w:val="Titre1"/>
        <w:rPr>
          <w:color w:val="auto"/>
          <w:sz w:val="28"/>
          <w:szCs w:val="28"/>
        </w:rPr>
      </w:pPr>
      <w:bookmarkStart w:id="48" w:name="_Toc445972052"/>
      <w:r w:rsidRPr="00836B4B">
        <w:rPr>
          <w:color w:val="auto"/>
          <w:sz w:val="28"/>
          <w:szCs w:val="28"/>
        </w:rPr>
        <w:t>Technical description for VDE-SAT</w:t>
      </w:r>
      <w:bookmarkEnd w:id="48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49" w:name="_Toc445972053"/>
      <w:r w:rsidRPr="00836B4B">
        <w:rPr>
          <w:b w:val="0"/>
          <w:color w:val="auto"/>
          <w:sz w:val="24"/>
          <w:szCs w:val="24"/>
        </w:rPr>
        <w:t>Technical characteristics of the VDE-SAT Downlink in the VHF Maritime Mobil band (new/updated Annex to Rec. ITU-R M.2092)</w:t>
      </w:r>
      <w:bookmarkEnd w:id="49"/>
      <w:r w:rsidRPr="00836B4B">
        <w:rPr>
          <w:b w:val="0"/>
          <w:color w:val="auto"/>
          <w:sz w:val="24"/>
          <w:szCs w:val="24"/>
        </w:rPr>
        <w:t xml:space="preserve"> </w:t>
      </w:r>
    </w:p>
    <w:p w:rsidR="000E0738" w:rsidRPr="00836B4B" w:rsidRDefault="000E0738" w:rsidP="000E0738">
      <w:pPr>
        <w:pStyle w:val="Titre3"/>
        <w:rPr>
          <w:b w:val="0"/>
          <w:color w:val="auto"/>
        </w:rPr>
      </w:pPr>
      <w:bookmarkStart w:id="50" w:name="_Toc445972054"/>
      <w:r w:rsidRPr="00836B4B">
        <w:rPr>
          <w:b w:val="0"/>
          <w:color w:val="auto"/>
        </w:rPr>
        <w:t>Antenna noise levels on-board ships</w:t>
      </w:r>
      <w:bookmarkEnd w:id="50"/>
    </w:p>
    <w:p w:rsidR="000E0738" w:rsidRPr="00836B4B" w:rsidRDefault="000E0738" w:rsidP="000E0738">
      <w:pPr>
        <w:pStyle w:val="Titre2"/>
        <w:rPr>
          <w:b w:val="0"/>
          <w:color w:val="auto"/>
          <w:sz w:val="24"/>
          <w:szCs w:val="24"/>
        </w:rPr>
      </w:pPr>
      <w:bookmarkStart w:id="51" w:name="_Toc445972055"/>
      <w:r w:rsidRPr="00836B4B">
        <w:rPr>
          <w:b w:val="0"/>
          <w:color w:val="auto"/>
          <w:sz w:val="24"/>
          <w:szCs w:val="24"/>
        </w:rPr>
        <w:t>Technical characteristics of the VDE-SAT Uplink in the VHF Maritime Mobil band (new/update Annex to Rec. ITU-R M.2092)</w:t>
      </w:r>
      <w:bookmarkEnd w:id="51"/>
    </w:p>
    <w:p w:rsidR="00511AA9" w:rsidRPr="000211D1" w:rsidRDefault="00511AA9" w:rsidP="00737443">
      <w:pPr>
        <w:jc w:val="both"/>
        <w:rPr>
          <w:lang w:val="en-US"/>
        </w:rPr>
      </w:pPr>
    </w:p>
    <w:sectPr w:rsidR="00511AA9" w:rsidRPr="000211D1" w:rsidSect="000E0738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BF" w:rsidRDefault="00F944BF" w:rsidP="000E0738">
      <w:pPr>
        <w:spacing w:before="0"/>
      </w:pPr>
      <w:r>
        <w:separator/>
      </w:r>
    </w:p>
  </w:endnote>
  <w:endnote w:type="continuationSeparator" w:id="0">
    <w:p w:rsidR="00F944BF" w:rsidRDefault="00F944BF" w:rsidP="000E07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BF" w:rsidRDefault="00F944BF" w:rsidP="000E0738">
      <w:pPr>
        <w:spacing w:before="0"/>
      </w:pPr>
      <w:r>
        <w:separator/>
      </w:r>
    </w:p>
  </w:footnote>
  <w:footnote w:type="continuationSeparator" w:id="0">
    <w:p w:rsidR="00F944BF" w:rsidRDefault="00F944BF" w:rsidP="000E07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38" w:rsidRPr="000E0738" w:rsidRDefault="000E0738" w:rsidP="000E0738">
    <w:pPr>
      <w:pStyle w:val="En-tte"/>
      <w:jc w:val="center"/>
      <w:rPr>
        <w:lang w:val="fr-FR"/>
      </w:rPr>
    </w:pPr>
    <w:r>
      <w:rPr>
        <w:lang w:val="fr-FR"/>
      </w:rP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D619C"/>
    <w:multiLevelType w:val="multilevel"/>
    <w:tmpl w:val="5BB6CCA0"/>
    <w:lvl w:ilvl="0">
      <w:start w:val="2"/>
      <w:numFmt w:val="decimal"/>
      <w:pStyle w:val="Titre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D0"/>
    <w:rsid w:val="000211D1"/>
    <w:rsid w:val="000E0738"/>
    <w:rsid w:val="00140B8D"/>
    <w:rsid w:val="001B68F5"/>
    <w:rsid w:val="0024618D"/>
    <w:rsid w:val="00251B3A"/>
    <w:rsid w:val="002F07FE"/>
    <w:rsid w:val="002F39B7"/>
    <w:rsid w:val="00407AEA"/>
    <w:rsid w:val="005058F5"/>
    <w:rsid w:val="00511AA9"/>
    <w:rsid w:val="00547E5A"/>
    <w:rsid w:val="00552AB1"/>
    <w:rsid w:val="0055735B"/>
    <w:rsid w:val="006F4594"/>
    <w:rsid w:val="00737443"/>
    <w:rsid w:val="00755055"/>
    <w:rsid w:val="0079555B"/>
    <w:rsid w:val="007D1F4A"/>
    <w:rsid w:val="007F09F6"/>
    <w:rsid w:val="008468A1"/>
    <w:rsid w:val="008F1189"/>
    <w:rsid w:val="00946638"/>
    <w:rsid w:val="009853D0"/>
    <w:rsid w:val="00A37000"/>
    <w:rsid w:val="00C35A56"/>
    <w:rsid w:val="00D272C3"/>
    <w:rsid w:val="00D440ED"/>
    <w:rsid w:val="00D56BFC"/>
    <w:rsid w:val="00DB7EFE"/>
    <w:rsid w:val="00F944BF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3D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0E0738"/>
    <w:pPr>
      <w:keepNext/>
      <w:keepLines/>
      <w:numPr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nb-NO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E0738"/>
    <w:pPr>
      <w:keepNext/>
      <w:keepLines/>
      <w:numPr>
        <w:ilvl w:val="1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0738"/>
    <w:pPr>
      <w:keepNext/>
      <w:keepLines/>
      <w:numPr>
        <w:ilvl w:val="2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E0738"/>
    <w:pPr>
      <w:keepNext/>
      <w:keepLines/>
      <w:numPr>
        <w:ilvl w:val="3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nb-NO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E0738"/>
    <w:pPr>
      <w:keepNext/>
      <w:keepLines/>
      <w:numPr>
        <w:ilvl w:val="4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eastAsia="nb-NO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E0738"/>
    <w:pPr>
      <w:keepNext/>
      <w:keepLines/>
      <w:numPr>
        <w:ilvl w:val="5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nb-NO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E0738"/>
    <w:pPr>
      <w:keepNext/>
      <w:keepLines/>
      <w:numPr>
        <w:ilvl w:val="6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nb-NO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E0738"/>
    <w:pPr>
      <w:keepNext/>
      <w:keepLines/>
      <w:numPr>
        <w:ilvl w:val="7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nb-NO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0738"/>
    <w:pPr>
      <w:keepNext/>
      <w:keepLines/>
      <w:numPr>
        <w:ilvl w:val="8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nb-N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53D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3D0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Source">
    <w:name w:val="Source"/>
    <w:basedOn w:val="Normal"/>
    <w:next w:val="Normal"/>
    <w:rsid w:val="0079555B"/>
    <w:pPr>
      <w:spacing w:before="840"/>
      <w:jc w:val="center"/>
    </w:pPr>
    <w:rPr>
      <w:rFonts w:eastAsia="Times New Roman"/>
      <w:b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E07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nb-NO"/>
    </w:rPr>
  </w:style>
  <w:style w:type="character" w:customStyle="1" w:styleId="Titre2Car">
    <w:name w:val="Titre 2 Car"/>
    <w:basedOn w:val="Policepardfaut"/>
    <w:link w:val="Titre2"/>
    <w:uiPriority w:val="9"/>
    <w:rsid w:val="000E0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nb-NO"/>
    </w:rPr>
  </w:style>
  <w:style w:type="character" w:customStyle="1" w:styleId="Titre3Car">
    <w:name w:val="Titre 3 Car"/>
    <w:basedOn w:val="Policepardfaut"/>
    <w:link w:val="Titre3"/>
    <w:uiPriority w:val="9"/>
    <w:rsid w:val="000E0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nb-NO"/>
    </w:rPr>
  </w:style>
  <w:style w:type="character" w:customStyle="1" w:styleId="Titre4Car">
    <w:name w:val="Titre 4 Car"/>
    <w:basedOn w:val="Policepardfaut"/>
    <w:link w:val="Titre4"/>
    <w:uiPriority w:val="9"/>
    <w:semiHidden/>
    <w:rsid w:val="000E0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nb-NO"/>
    </w:rPr>
  </w:style>
  <w:style w:type="character" w:customStyle="1" w:styleId="Titre5Car">
    <w:name w:val="Titre 5 Car"/>
    <w:basedOn w:val="Policepardfaut"/>
    <w:link w:val="Titre5"/>
    <w:uiPriority w:val="9"/>
    <w:semiHidden/>
    <w:rsid w:val="000E0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nb-NO"/>
    </w:rPr>
  </w:style>
  <w:style w:type="character" w:customStyle="1" w:styleId="Titre6Car">
    <w:name w:val="Titre 6 Car"/>
    <w:basedOn w:val="Policepardfaut"/>
    <w:link w:val="Titre6"/>
    <w:uiPriority w:val="9"/>
    <w:semiHidden/>
    <w:rsid w:val="000E073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nb-NO"/>
    </w:rPr>
  </w:style>
  <w:style w:type="character" w:customStyle="1" w:styleId="Titre7Car">
    <w:name w:val="Titre 7 Car"/>
    <w:basedOn w:val="Policepardfaut"/>
    <w:link w:val="Titre7"/>
    <w:uiPriority w:val="9"/>
    <w:semiHidden/>
    <w:rsid w:val="000E073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nb-NO"/>
    </w:rPr>
  </w:style>
  <w:style w:type="character" w:customStyle="1" w:styleId="Titre8Car">
    <w:name w:val="Titre 8 Car"/>
    <w:basedOn w:val="Policepardfaut"/>
    <w:link w:val="Titre8"/>
    <w:uiPriority w:val="9"/>
    <w:semiHidden/>
    <w:rsid w:val="000E07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nb-NO"/>
    </w:rPr>
  </w:style>
  <w:style w:type="character" w:customStyle="1" w:styleId="Titre9Car">
    <w:name w:val="Titre 9 Car"/>
    <w:basedOn w:val="Policepardfaut"/>
    <w:link w:val="Titre9"/>
    <w:uiPriority w:val="9"/>
    <w:semiHidden/>
    <w:rsid w:val="000E0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nb-NO"/>
    </w:rPr>
  </w:style>
  <w:style w:type="paragraph" w:styleId="En-tte">
    <w:name w:val="header"/>
    <w:basedOn w:val="Normal"/>
    <w:link w:val="En-tteCar"/>
    <w:uiPriority w:val="99"/>
    <w:unhideWhenUsed/>
    <w:rsid w:val="000E0738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0E0738"/>
    <w:rPr>
      <w:rFonts w:ascii="Times New Roman" w:eastAsiaTheme="minorEastAsia" w:hAnsi="Times New Roman" w:cs="Times New Roman"/>
      <w:sz w:val="24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0E0738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0E0738"/>
    <w:rPr>
      <w:rFonts w:ascii="Times New Roman" w:eastAsiaTheme="minorEastAsia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3D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0E0738"/>
    <w:pPr>
      <w:keepNext/>
      <w:keepLines/>
      <w:numPr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nb-NO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E0738"/>
    <w:pPr>
      <w:keepNext/>
      <w:keepLines/>
      <w:numPr>
        <w:ilvl w:val="1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b-NO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0738"/>
    <w:pPr>
      <w:keepNext/>
      <w:keepLines/>
      <w:numPr>
        <w:ilvl w:val="2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nb-NO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E0738"/>
    <w:pPr>
      <w:keepNext/>
      <w:keepLines/>
      <w:numPr>
        <w:ilvl w:val="3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nb-NO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E0738"/>
    <w:pPr>
      <w:keepNext/>
      <w:keepLines/>
      <w:numPr>
        <w:ilvl w:val="4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eastAsia="nb-NO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E0738"/>
    <w:pPr>
      <w:keepNext/>
      <w:keepLines/>
      <w:numPr>
        <w:ilvl w:val="5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nb-NO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E0738"/>
    <w:pPr>
      <w:keepNext/>
      <w:keepLines/>
      <w:numPr>
        <w:ilvl w:val="6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nb-NO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E0738"/>
    <w:pPr>
      <w:keepNext/>
      <w:keepLines/>
      <w:numPr>
        <w:ilvl w:val="7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nb-NO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0738"/>
    <w:pPr>
      <w:keepNext/>
      <w:keepLines/>
      <w:numPr>
        <w:ilvl w:val="8"/>
        <w:numId w:val="1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nb-N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53D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53D0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Source">
    <w:name w:val="Source"/>
    <w:basedOn w:val="Normal"/>
    <w:next w:val="Normal"/>
    <w:rsid w:val="0079555B"/>
    <w:pPr>
      <w:spacing w:before="840"/>
      <w:jc w:val="center"/>
    </w:pPr>
    <w:rPr>
      <w:rFonts w:eastAsia="Times New Roman"/>
      <w:b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E07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nb-NO"/>
    </w:rPr>
  </w:style>
  <w:style w:type="character" w:customStyle="1" w:styleId="Titre2Car">
    <w:name w:val="Titre 2 Car"/>
    <w:basedOn w:val="Policepardfaut"/>
    <w:link w:val="Titre2"/>
    <w:uiPriority w:val="9"/>
    <w:rsid w:val="000E0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nb-NO"/>
    </w:rPr>
  </w:style>
  <w:style w:type="character" w:customStyle="1" w:styleId="Titre3Car">
    <w:name w:val="Titre 3 Car"/>
    <w:basedOn w:val="Policepardfaut"/>
    <w:link w:val="Titre3"/>
    <w:uiPriority w:val="9"/>
    <w:rsid w:val="000E0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nb-NO"/>
    </w:rPr>
  </w:style>
  <w:style w:type="character" w:customStyle="1" w:styleId="Titre4Car">
    <w:name w:val="Titre 4 Car"/>
    <w:basedOn w:val="Policepardfaut"/>
    <w:link w:val="Titre4"/>
    <w:uiPriority w:val="9"/>
    <w:semiHidden/>
    <w:rsid w:val="000E0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nb-NO"/>
    </w:rPr>
  </w:style>
  <w:style w:type="character" w:customStyle="1" w:styleId="Titre5Car">
    <w:name w:val="Titre 5 Car"/>
    <w:basedOn w:val="Policepardfaut"/>
    <w:link w:val="Titre5"/>
    <w:uiPriority w:val="9"/>
    <w:semiHidden/>
    <w:rsid w:val="000E0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nb-NO"/>
    </w:rPr>
  </w:style>
  <w:style w:type="character" w:customStyle="1" w:styleId="Titre6Car">
    <w:name w:val="Titre 6 Car"/>
    <w:basedOn w:val="Policepardfaut"/>
    <w:link w:val="Titre6"/>
    <w:uiPriority w:val="9"/>
    <w:semiHidden/>
    <w:rsid w:val="000E073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nb-NO"/>
    </w:rPr>
  </w:style>
  <w:style w:type="character" w:customStyle="1" w:styleId="Titre7Car">
    <w:name w:val="Titre 7 Car"/>
    <w:basedOn w:val="Policepardfaut"/>
    <w:link w:val="Titre7"/>
    <w:uiPriority w:val="9"/>
    <w:semiHidden/>
    <w:rsid w:val="000E073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nb-NO"/>
    </w:rPr>
  </w:style>
  <w:style w:type="character" w:customStyle="1" w:styleId="Titre8Car">
    <w:name w:val="Titre 8 Car"/>
    <w:basedOn w:val="Policepardfaut"/>
    <w:link w:val="Titre8"/>
    <w:uiPriority w:val="9"/>
    <w:semiHidden/>
    <w:rsid w:val="000E07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nb-NO"/>
    </w:rPr>
  </w:style>
  <w:style w:type="character" w:customStyle="1" w:styleId="Titre9Car">
    <w:name w:val="Titre 9 Car"/>
    <w:basedOn w:val="Policepardfaut"/>
    <w:link w:val="Titre9"/>
    <w:uiPriority w:val="9"/>
    <w:semiHidden/>
    <w:rsid w:val="000E0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nb-NO"/>
    </w:rPr>
  </w:style>
  <w:style w:type="paragraph" w:styleId="En-tte">
    <w:name w:val="header"/>
    <w:basedOn w:val="Normal"/>
    <w:link w:val="En-tteCar"/>
    <w:uiPriority w:val="99"/>
    <w:unhideWhenUsed/>
    <w:rsid w:val="000E0738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0E0738"/>
    <w:rPr>
      <w:rFonts w:ascii="Times New Roman" w:eastAsiaTheme="minorEastAsia" w:hAnsi="Times New Roman" w:cs="Times New Roman"/>
      <w:sz w:val="24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0E0738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0E0738"/>
    <w:rPr>
      <w:rFonts w:ascii="Times New Roman" w:eastAsiaTheme="minorEastAsia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ANFR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FRANCE</cp:lastModifiedBy>
  <cp:revision>2</cp:revision>
  <dcterms:created xsi:type="dcterms:W3CDTF">2016-03-17T15:35:00Z</dcterms:created>
  <dcterms:modified xsi:type="dcterms:W3CDTF">2016-03-17T15:35:00Z</dcterms:modified>
</cp:coreProperties>
</file>